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Фармацевтическая технология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07:12 МСК · База обновлена: 25.07.2026, 06:29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Фармацевтическая технология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аптеку поступил рецепт:</w:t>
      </w:r>
    </w:p>
    <w:p>
      <w:pPr>
        <w:spacing w:after="58"/>
      </w:pPr>
      <w:r>
        <w:rPr>
          <w:b w:val="0"/>
          <w:i w:val="0"/>
        </w:rPr>
        <w:t>Rp.: Emulsi oleosi 200,0</w:t>
      </w:r>
    </w:p>
    <w:p>
      <w:pPr>
        <w:spacing w:after="58"/>
      </w:pPr>
      <w:r>
        <w:rPr>
          <w:b w:val="0"/>
          <w:i w:val="0"/>
        </w:rPr>
        <w:t>D.S. По 1 столовой ложке 3 раза в день</w:t>
      </w:r>
    </w:p>
    <w:p>
      <w:pPr>
        <w:spacing w:after="58"/>
      </w:pPr>
      <w:r>
        <w:rPr>
          <w:b w:val="0"/>
          <w:i w:val="0"/>
        </w:rPr>
        <w:t>Фармацевт изготовил эмульсию с маслом оливковым и желатозой.</w:t>
      </w:r>
    </w:p>
    <w:p>
      <w:pPr>
        <w:pStyle w:val="Heading2"/>
      </w:pPr>
      <w:r>
        <w:t>1. Техпроцесс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Эмульсии являются лекарственной формой, представляющей собой систему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гетерогенную дисперсную, с жидкой дисперсной фазой и жидкой дисперсионной средой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ультрамикрогетерогенную, в которых дисперсионной средой является жидкость, дисперсной фазой – мицеллы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гетерогенную дисперсную, содержащую одно или несколько твердых действующих веществ, распределенных в жидкой дисперсионной среде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однофазную переменного состава, образуемую не менее, чем двумя независимыми компонентами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гетерогенную дисперсную, с жидкой дисперсной фазой и жидкой дисперсионной средой</w:t>
      </w:r>
    </w:p>
    <w:p>
      <w:pPr>
        <w:ind w:left="504"/>
      </w:pPr>
      <w:r>
        <w:rPr>
          <w:b w:val="0"/>
          <w:i/>
        </w:rPr>
        <w:t>Эмульсии – жидкая лекарственная форма, представляющая собой гетерогенную двухфазную дисперсную систему с жидкой дисперсной фазой и жидкой дисперсионной средой.</w:t>
        <w:br/>
        <w:br/>
        <w:t>Государственная фармакопея Российской Федерации XV издания</w:t>
        <w:br/>
        <w:br/>
        <w:t>ОФС.1.4.1.0017 Эмульсии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Эмульсии изготавливаются методом по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объему (в концентрации до 10%), массе (в концентрации более 10%)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объему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массе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массе (в концентрации до 10%), объему (в концентрации более 10%)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массе</w:t>
      </w:r>
    </w:p>
    <w:p>
      <w:pPr>
        <w:ind w:left="504"/>
      </w:pPr>
      <w:r>
        <w:rPr>
          <w:b w:val="0"/>
          <w:i/>
        </w:rPr>
        <w:t>Суспензии и эмульсии независимо от концентрации изготавливаются по массе.</w:t>
        <w:br/>
        <w:br/>
      </w:r>
      <w:hyperlink r:id="rId22">
        <w:r>
          <w:rPr>
            <w:color w:val="173C49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Тип эмульсии обусловлен главным образом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природой вводимых активных фармацевтических субстанций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массой масла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массой воды очищенной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природой и свойствами эмульгатора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природой и свойствами эмульгатора</w:t>
      </w:r>
    </w:p>
    <w:p>
      <w:pPr>
        <w:ind w:left="504"/>
      </w:pPr>
      <w:r>
        <w:rPr>
          <w:b w:val="0"/>
          <w:i/>
        </w:rPr>
        <w:t>Тип образующейся эмульсии определяется свойствами эмульгатора (его гидрофильно-липофильным балансом).</w:t>
        <w:br/>
        <w:br/>
        <w:t>Государственная фармакопея Российской Федерации XV издания</w:t>
        <w:br/>
        <w:br/>
        <w:t>ОФС.1.4.1.0017 Эмульсии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Количество масла, необходимое для изготовления эмульсии по рецепту,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20 мл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10,0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20,0</w:t>
      </w:r>
    </w:p>
    <w:p>
      <w:pPr>
        <w:ind w:left="504"/>
      </w:pPr>
      <w:r>
        <w:rPr>
          <w:b w:val="0"/>
          <w:i/>
        </w:rPr>
        <w:t>Если в составе лекарственного препарата нет указаний о содержании масла, то для приготовления 100,0 г эмульсии берут 10,0 г масла.</w:t>
        <w:br/>
        <w:br/>
        <w:t>Концентрация эмульсии при отсутствии обозначения в рецепте составляет 10%.</w:t>
        <w:br/>
        <w:br/>
        <w:t>200,0 – 100%</w:t>
        <w:br/>
        <w:br/>
        <w:t>х – 10%, х = 20,0 – масса масла</w:t>
        <w:br/>
        <w:br/>
        <w:t>Государственная фармакопея Российской Федерации XV издания</w:t>
        <w:br/>
        <w:br/>
        <w:t>ОФС.1.8.0003 Нестерильные лекарственные препараты аптечного изготовления в виде жидких лекарственных форм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Масса желатозы для изготовления эмульсии составляет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15,0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20,0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10,0</w:t>
      </w:r>
    </w:p>
    <w:p>
      <w:pPr>
        <w:ind w:left="504"/>
      </w:pPr>
      <w:r>
        <w:rPr>
          <w:b w:val="0"/>
          <w:i/>
        </w:rPr>
        <w:t>Стабилизаторы гетерогенных систем</w:t>
        <w:br/>
        <w:br/>
        <w:t>a| N п/п a| Стабилизатор суспензий и эмульсий a| Масляная фаза 10 г</w:t>
        <w:br/>
        <w:br/>
        <w:t>a| 1. a| Желатоза a| 5,0</w:t>
        <w:br/>
        <w:br/>
        <w:t>a| 2. a| Крахмал a| 5,0</w:t>
        <w:br/>
        <w:br/>
        <w:t>(используется в виде 10% раствора)</w:t>
        <w:br/>
        <w:br/>
        <w:t>3+^a| &lt;…&gt;</w:t>
        <w:br/>
        <w:br/>
        <w:t>a| 7. a| Сухое молоко a| 10,0</w:t>
        <w:br/>
        <w:br/>
        <w:t>a| 8. a| Твин-80 a| 2,0</w:t>
        <w:br/>
        <w:br/>
        <w:t>a| 9. a| Эмульгатор Т-2 a| 1,5-2,0</w:t>
        <w:br/>
        <w:br/>
        <w:t>{nbsp}</w:t>
        <w:br/>
        <w:br/>
        <w:t>При аптечном изготовлении нестерильных лекарственных препаратов в виде суспензий и эмульсий из гидрофобных веществ рекомендуется использовать стабилизаторы, указанные в табл. 8, учитывая физико-химические свойств компонентов лекарственного препарата, стабилизаторов, способа применения лекарственного препарата.</w:t>
        <w:br/>
        <w:br/>
        <w:t>Государственная фармакопея Российской Федерации XV издания</w:t>
        <w:br/>
        <w:br/>
        <w:t>ОФС.1.8.0003 Нестерильные лекарственные препараты аптечного изготовления в виде жидких лекарственных форм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Объем воды для изготовления первичной эмульсии составляет +_____+ мл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15</w:t>
      </w:r>
    </w:p>
    <w:p>
      <w:pPr>
        <w:ind w:left="504"/>
      </w:pPr>
      <w:r>
        <w:rPr>
          <w:b w:val="0"/>
          <w:i/>
        </w:rPr>
        <w:t>М воды (1) = (М масла {plus} М стабилизатора) / 2 = (20 {plus} 10) / 2 = 15 г;</w:t>
        <w:br/>
        <w:br/>
        <w:t>V воды = 15 мл</w:t>
        <w:br/>
        <w:br/>
        <w:t>Воду для образования первичной эмульсии рассчитывают как полусумму массы масла (или масляного раствора) и массы стабилизатора.</w:t>
        <w:br/>
        <w:br/>
        <w:t>Фармацевтическая технология. Технология лекарственных форм : учебник / И. И. Краснюк [и др. ] ; под ред. И. И. Краснюка, Г. В. Михайловой. - Москва : ГЭОТАР-Медиа, 2018. - 656 с. : ил. - 656 с. - ISBN 978-5-9704-4703-1.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Объем воды для разбавления первичной эмульсии составляет +_____+ мл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177,5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170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155</w:t>
      </w:r>
    </w:p>
    <w:p>
      <w:pPr>
        <w:ind w:left="504"/>
      </w:pPr>
      <w:r>
        <w:rPr>
          <w:b w:val="0"/>
          <w:i/>
        </w:rPr>
        <w:t>М воды (2) = М общ. – (М масла {plus} М стаб. {plus} М воды (1)) = 200 – (20 {plus} 10 {plus} 15) = 155 г; V воды (2) = 155 мл</w:t>
        <w:br/>
        <w:br/>
        <w:t>Воду для разбавления первичной эмульсии рассчитывают как разность массы выписанной эмульсии и массы масла, эмульгатора и воды, предназначенной для получения первичной эмульсии (корпуса).</w:t>
        <w:br/>
        <w:br/>
        <w:t>Фармацевтическая технология. Технология лекарственных форм : учебник / И. И. Краснюк [и др. ] ; под ред. И. И. Краснюка, Г. В. Михайловой. - Москва : ГЭОТАР-Медиа, 2018. - 656 с. : ил. - 656 с. - ISBN 978-5-9704-4703-1.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Этикетка, наклеиваемая на изготовленную лекарственную форму, имеет +_______________+ сигнальный цвет в виде поля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розовый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зеленый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оранжевый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зеленый</w:t>
      </w:r>
    </w:p>
    <w:p>
      <w:pPr>
        <w:ind w:left="504"/>
      </w:pPr>
      <w:r>
        <w:rPr>
          <w:b w:val="0"/>
          <w:i/>
        </w:rPr>
        <w:t>Этикетки имеют на белом фоне следующие сигнальные цвета в виде поля:</w:t>
        <w:br/>
        <w:br/>
        <w:t>а) для внутреннего применения - зеленый цвет</w:t>
        <w:br/>
        <w:br/>
        <w:t>Фармацевтическая технология. Технология лекарственных форм : учебник / И. И. Краснюк, Г. В. Михайлова, Т. В. Денисова, В. И. Скляренко ; под ред. И. И. Краснюка, Г. В. Михайловой. - Москва : ГЭОТАР-Медиа, 2023. - 656 с. - ISBN 978-5-9704-7791-5.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Этикетка изготовленной эмульсии должна содержать предупредительные надписи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«Хранить в прохладном и защищенном от света месте», «Обращаться с осторожностью»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«Хранить в прохладном и защищенном от света месте», «Перед употреблением взбалтывать», «Хранить в недоступном для детей месте»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«Перед употреблением подогреть», «Хранить в недоступном для детей месте»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«Хранить в прохладном и защищенном от света месте», «Изготовлено асептически», «Обращаться с осторожностью»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«Хранить в прохладном и защищенном от света месте», «Перед употреблением взбалтывать», «Хранить в недоступном для детей месте»</w:t>
      </w:r>
    </w:p>
    <w:p>
      <w:pPr>
        <w:ind w:left="504"/>
      </w:pPr>
      <w:r>
        <w:rPr>
          <w:b w:val="0"/>
          <w:i/>
        </w:rPr>
        <w:t>1) Эмульсии упаковывают во флаконы или банки с широким горлом (для наружного применения). Укупоривают по общим правилам. Оформляют этикетками «Микстура», «Внутреннее» или «Наружное», снабжая предупредительными надписями или дополнительными этикетками: «Сохранять в прохладном месте», «Хранить в защищенном от света месте», «Перед употреблением взбалтывать».</w:t>
        <w:br/>
        <w:br/>
        <w:t>Фармацевтическая технология. Технология лекарственных форм : учебник / И. И. Краснюк [и др. ] ; под ред. И. И. Краснюка, Г. В. Михайловой. - Москва : ГЭОТАР-Медиа, 2018. - 656 с. : ил. - 656 с. - ISBN 978-5-9704-4703-1.</w:t>
        <w:br/>
        <w:br/>
      </w:r>
      <w:hyperlink r:id="rId3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2) Все этикетки обязательно должны содержать предупредительную надпись «Хранить в недоступном для детей месте».</w:t>
        <w:br/>
        <w:br/>
      </w:r>
      <w:hyperlink r:id="rId22">
        <w:r>
          <w:rPr>
            <w:color w:val="173C49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Контроль качества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Срок хранения эмульсий экстемпорального изготовления с использованием стабилизатора составляет +_____+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7</w:t>
      </w:r>
    </w:p>
    <w:p>
      <w:pPr>
        <w:ind w:left="504"/>
      </w:pPr>
      <w:r>
        <w:rPr>
          <w:b w:val="0"/>
          <w:i/>
        </w:rPr>
        <w:t>Сроки годности лекарственных препаратов:</w:t>
        <w:br/>
        <w:br/>
        <w:t>ж) для эмульсий, суспензий с использованием стабилизаторов - не более 7 суток, без стабилизаторов - 2 суток;</w:t>
        <w:br/>
        <w:br/>
      </w:r>
      <w:hyperlink r:id="rId22">
        <w:r>
          <w:rPr>
            <w:color w:val="173C49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Нормативные документы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Паспорт письменного контроля должен храниться в течение _____ мес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</w:t>
      </w:r>
    </w:p>
    <w:p>
      <w:pPr>
        <w:ind w:left="504"/>
      </w:pPr>
      <w:r>
        <w:rPr>
          <w:b w:val="0"/>
          <w:i/>
        </w:rPr>
        <w:t>Паспорта письменного контроля хранятся в течение двух месяцев со дня изготовления лекарственных препаратов.</w:t>
        <w:br/>
        <w:br/>
      </w:r>
      <w:hyperlink r:id="rId22">
        <w:r>
          <w:rPr>
            <w:color w:val="173C49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Допустимые отклонения в массе и объёме при изготовлении лекарственных препаратов для медицинского применения регламентирует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Приказ № 1175н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Приказ № 183н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Приказ № 309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Государственная фармакопея Российской Федерации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Государственная фармакопея Российской Федерации</w:t>
      </w:r>
    </w:p>
    <w:p>
      <w:pPr>
        <w:ind w:left="504"/>
      </w:pPr>
      <w:r>
        <w:rPr>
          <w:b w:val="0"/>
          <w:i/>
        </w:rPr>
        <w:t>Допустимые отклонения в массе, объеме, концентрации и погрешности при измельчении при изготовлении лекарственных препаратов для медицинского применения представлены в таблицах.</w:t>
        <w:br/>
        <w:br/>
        <w:t>Государственная фармакопея Российской Федерации XV издания</w:t>
        <w:br/>
        <w:br/>
        <w:t>ОФС.1.8.0001 Лекарственные препараты аптечного изготовления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Фармацевтическая технология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аптеку поступил рецепт: +</w:t>
        <w:br/>
        <w:t>Rp.:Zinci oxydi 10,0 +</w:t>
        <w:br/>
        <w:t>Aquae purificatae 100 ml +</w:t>
        <w:br/>
        <w:t>Misce. Da. Signa. Для примочек</w:t>
      </w:r>
    </w:p>
    <w:p>
      <w:pPr>
        <w:pStyle w:val="Heading2"/>
      </w:pPr>
      <w:r>
        <w:t>1. Техпроцесс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Суспензии с размером частиц менее 1 мкм можно охарактеризовать как +_____________+ системы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микрогетерогенные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комбинированные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коллоидные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гомогенные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микрогетерогенные</w:t>
      </w:r>
    </w:p>
    <w:p>
      <w:pPr>
        <w:ind w:left="504"/>
      </w:pPr>
      <w:r>
        <w:rPr>
          <w:b w:val="0"/>
          <w:i/>
        </w:rPr>
        <w:t>Суспензия, содержащая диспергированные частицы размером менее 1 мкм, представляет собой микрогетерогенную дисперсную систему.</w:t>
        <w:br/>
        <w:br/>
        <w:t>Государственная фармакопея Российской Федерации XV издания</w:t>
        <w:br/>
        <w:br/>
        <w:t>ОФС.1.4.1.0014 Суспензии</w:t>
        <w:br/>
        <w:br/>
      </w:r>
      <w:hyperlink r:id="rId3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Краснюк, И. И. Фармацевтическая технология. Технология лекарственных форм : учебник / И. И. Краснюк [и др. ] ; под ред. И. И. Краснюка, Г. В. Михайловой. - Москва : ГЭОТАР-Медиа, 2018. - 656 с. : ил. - 656 с. - ISBN 978-5-9704-4703-1.</w:t>
        <w:br/>
        <w:br/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Суспензии изготавливаются методом по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объему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массе (в концентрации до 3%), объему (в концентрации более 3%)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массе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объему (в концентрации до 3%), массе (в концентрации более 3%)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массе</w:t>
      </w:r>
    </w:p>
    <w:p>
      <w:pPr>
        <w:ind w:left="504"/>
      </w:pPr>
      <w:r>
        <w:rPr>
          <w:b w:val="0"/>
          <w:i/>
        </w:rPr>
        <w:t>Суспензии и эмульсии независимо от концентрации изготавливаются по массе.</w:t>
        <w:br/>
        <w:br/>
      </w:r>
      <w:hyperlink r:id="rId22">
        <w:r>
          <w:rPr>
            <w:color w:val="173C49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 изготовлении суспензии по данному рецепту следует учитывать, что цинка оксид обладает поверхностно- _____ свойствами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гидрофобными, нерезко выраженными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гидрофобными, резко выраженными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гидрофильными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дифильными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гидрофильными</w:t>
      </w:r>
    </w:p>
    <w:p>
      <w:pPr>
        <w:ind w:left="504"/>
      </w:pPr>
      <w:r>
        <w:rPr>
          <w:b w:val="0"/>
          <w:i/>
        </w:rPr>
        <w:t>Гидрофильные вещества хорошо смачиваются водой, краевой угол смачивания меньше 45°; полное смачивание имеет место тогда, когда капля жидкости полностью растекается в тонкую пленку по поверхности твердого вещества. К гидрофильным веществам относят висмута нитрат основной, цинка оксид, крахмал, магния оксид, магния карбонат, кальция карбонат, кальция глицерофосфат, глину белую.</w:t>
        <w:br/>
        <w:br/>
        <w:t>Краснюк, И. И. Фармацевтическая технология. Технология лекарственных форм : учебник / И. И. Краснюк [и др. ] ; под ред. И. И. Краснюка, Г. В. Михайловой. - Москва : ГЭОТАР-Медиа, 2018. - 656 с. : ил. - 656 с. - ISBN 978-5-9704-4703-1.</w:t>
        <w:br/>
        <w:br/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Без введения стабилизатора в аптеке могут быть изготовлены водные суспензии веществ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дифильных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 резко выраженными гидрофобными свойствами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растворимых в воде, с выраженными гидрофильными свойствами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 нерезко выраженными гидрофобными свойствами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 растворимых в воде, с выраженными гидрофильными свойствами</w:t>
      </w:r>
    </w:p>
    <w:p>
      <w:pPr>
        <w:ind w:left="504"/>
      </w:pPr>
      <w:r>
        <w:rPr>
          <w:b w:val="0"/>
          <w:i/>
        </w:rPr>
        <w:t>Водные суспензии гидрофильных веществ изготавливают в аптеке, как правило, без стабилизатора. Агрегативная и седиментационная устойчивость могут быть обеспечены в этом случае путем соблюдения соответствующих технологических приемов: измельчения нескольких твердых веществ по правилам изготовления порошков, применения расклинивающей жидкости по правилу оптимального диспергирования (1/2 массы измельчаемого вещества - правило Дерягина), применения приема дробного фракционирования (взмучивания) и др.</w:t>
        <w:br/>
        <w:br/>
        <w:t>Краснюк, И. И. Фармацевтическая технология. Технология лекарственных форм : учебник / И. И. Краснюк [и др. ] ; под ред. И. И. Краснюка, Г. В. Михайловой. - Москва : ГЭОТАР-Медиа, 2018. - 656 с. : ил. - 656 с. - ISBN 978-5-9704-4703-1.</w:t>
        <w:br/>
        <w:br/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Контроль качества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Обязательной операцией при изготовлении суспензий дисперсионным методом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фильтрование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стабилизация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прием взмучивания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получение пульпы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получение пульпы</w:t>
      </w:r>
    </w:p>
    <w:p>
      <w:pPr>
        <w:ind w:left="504"/>
      </w:pPr>
      <w:r>
        <w:rPr>
          <w:b w:val="0"/>
          <w:i/>
        </w:rPr>
        <w:t>Изготовление суспензий в ступке путем измельчения порошкообразных нерастворимых лекарственных средств производится по правилам изготовления порошков с последующим диспергированием оптимальным количеством жидкости (в количестве 1/2 от массы измельчаемого лекарственного средства или измельчаемого лекарственного средства и стабилизатора) и разбавлением дисперсионной средой.</w:t>
        <w:br/>
        <w:br/>
        <w:t>Фармацевтическая технология. Технология лекарственных форм : учебник / И. И. Краснюк, Г. В. Михайлова, Т. В. Денисова, В. И. Скляренко ; под ред. И. И. Краснюка, Г. В. Михайловой. - Москва : ГЭОТАР-Медиа, 2023. - 656 с. - ISBN 978-5-9704-7791-5.</w:t>
        <w:br/>
        <w:br/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изготовлении суспензии по рецепту объем воды для образования суспензионной пульпы составляет +__+ мл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5</w:t>
      </w:r>
    </w:p>
    <w:p>
      <w:pPr>
        <w:ind w:left="504"/>
      </w:pPr>
      <w:r>
        <w:rPr>
          <w:b w:val="0"/>
          <w:i/>
        </w:rPr>
        <w:t>V воды (1) = 10 / 2 = 5 (мл) +</w:t>
        <w:br/>
        <w:t>Изготовление суспензий в ступке путем измельчения порошкообразных нерастворимых лекарственных средств производится по правилам изготовления порошков с последующим диспергированием оптимальным количеством жидкости (в количестве 1/2 от массы измельчаемого лекарственного средства или измельчаемого лекарственного средства и стабилизатора) и разбавлением дисперсионной средой.</w:t>
        <w:br/>
        <w:br/>
        <w:t>Краснюк, И. И. Фармацевтическая технология. Технология лекарственных форм : учебник / И. И. Краснюк [и др. ] ; под ред. И. И. Краснюка, Г. В. Михайловой. - Москва : ГЭОТАР-Медиа, 2018. - 656 с. : ил. - 656 с. - ISBN 978-5-9704-4703-1.</w:t>
        <w:br/>
        <w:br/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изготовлении суспензии по рецепту объем воды для разбавления суспензионной пульпы составляет +___+ мл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95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90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95</w:t>
      </w:r>
    </w:p>
    <w:p>
      <w:pPr>
        <w:ind w:left="504"/>
      </w:pPr>
      <w:r>
        <w:rPr>
          <w:b w:val="0"/>
          <w:i/>
        </w:rPr>
        <w:t>V воды (2) = 100 – 5 = 95 (мл) +</w:t>
        <w:br/>
        <w:t>Изготовление суспензий в ступке путем измельчения порошкообразных нерастворимых лекарственных средств производится по правилам изготовления порошков с последующим диспергированием оптимальным количеством жидкости (в количестве 1/2 от массы измельчаемого лекарственного средства или измельчаемого лекарственного средства и стабилизатора) и разбавлением дисперсионной средой.</w:t>
        <w:br/>
        <w:br/>
        <w:t>Краснюк, И. И. Фармацевтическая технология. Технология лекарственных форм : учебник / И. И. Краснюк [и др. ] ; под ред. И. И. Краснюка, Г. В. Михайловой. - Москва : ГЭОТАР-Медиа, 2018. - 656 с. : ил. - 656 с. - ISBN 978-5-9704-4703-1.</w:t>
        <w:br/>
        <w:br/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отпуске из аптеки суспензии провизор проинформирует пациента о необходимости перед применением лекарственную форму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взбалтывать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фильтровать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нагревать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охлаждать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взбалтывать</w:t>
      </w:r>
    </w:p>
    <w:p>
      <w:pPr>
        <w:ind w:left="504"/>
      </w:pPr>
      <w:r>
        <w:rPr>
          <w:b w:val="0"/>
          <w:i/>
        </w:rPr>
        <w:t>Должна быть предусмотрена предупредительная надпись «Перед употреблением взбалтывать»</w:t>
        <w:br/>
        <w:br/>
        <w:t>Государственная фармакопея Российской Федерации XV издания</w:t>
        <w:br/>
        <w:br/>
        <w:t>ОФС.1.4.1.0014 Суспензии</w:t>
        <w:br/>
        <w:br/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Срок хранения суспензий экстемпорального изготовления, если нет соответствующих указаний в нормативной документации, составляет _____ (в сутках)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</w:t>
      </w:r>
    </w:p>
    <w:p>
      <w:pPr>
        <w:ind w:left="504"/>
      </w:pPr>
      <w:r>
        <w:rPr>
          <w:b w:val="0"/>
          <w:i/>
        </w:rPr>
        <w:t>Сроки годности лекарственных препаратов:</w:t>
        <w:br/>
        <w:br/>
        <w:t>ж) для эмульсий, суспензий с использованием стабилизаторов - не более 7 суток, без стабилизаторов - 2 суток;</w:t>
        <w:br/>
        <w:br/>
      </w:r>
      <w:hyperlink r:id="rId22">
        <w:r>
          <w:rPr>
            <w:color w:val="173C49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Оценку качества суспензий проводят по показателю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плотности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прозрачности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ресуспендируемости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времени диспергирования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ресуспендируемости</w:t>
      </w:r>
    </w:p>
    <w:p>
      <w:pPr>
        <w:ind w:left="504"/>
      </w:pPr>
      <w:r>
        <w:rPr>
          <w:b w:val="0"/>
          <w:i/>
        </w:rPr>
        <w:t>Для суспензий, предназначенных для парентерального применения и для приема внутрь, время ресуспендирования должно быть не более 1 мин, для суспензий, предназначенных для применения в форме капель глазных рекомендуемое время ресуспендирования – не более 30 с.</w:t>
        <w:br/>
        <w:br/>
        <w:t>Краснюк, И. И. Фармацевтическая технология. Технология лекарственных форм : учебник / И. И. Краснюк [и др. ] ; под ред. И. И. Краснюка, Г. В. Михайловой. - Москва : ГЭОТАР-Медиа, 2018. - 656 с. : ил. - 656 с. - ISBN 978-5-9704-4703-1.</w:t>
        <w:br/>
        <w:br/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Паспорт письменного контроля должен храниться в течение _____ мес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</w:t>
      </w:r>
    </w:p>
    <w:p>
      <w:pPr>
        <w:ind w:left="504"/>
      </w:pPr>
      <w:r>
        <w:rPr>
          <w:b w:val="0"/>
          <w:i/>
        </w:rPr>
        <w:t>Паспорта письменного контроля хранятся в течение двух месяцев со дня изготовления лекарственных препаратов.</w:t>
        <w:br/>
        <w:br/>
      </w:r>
      <w:hyperlink r:id="rId22">
        <w:r>
          <w:rPr>
            <w:color w:val="173C49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Техпроцесс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Суспензии не подлежат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стабилизации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взбалтыванию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фильтрации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стерилизации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фильтрации</w:t>
      </w:r>
    </w:p>
    <w:p>
      <w:pPr>
        <w:ind w:left="504"/>
      </w:pPr>
      <w:r>
        <w:rPr>
          <w:b w:val="0"/>
          <w:i/>
        </w:rPr>
        <w:t>Суспензии не подлежат фильтрации.</w:t>
        <w:br/>
        <w:br/>
        <w:t>Государственная фармакопея Российской Федерации XV издания</w:t>
        <w:br/>
        <w:br/>
        <w:t>ОФС.1.8.0003 Нестерильные лекарственные препараты аптечного изготовления в виде жидких лекарственных форм</w:t>
        <w:br/>
        <w:br/>
      </w:r>
      <w:hyperlink r:id="rId44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Фармацевтическая технология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farmakop15/?anchor=paragraph_1huqh3#paragraph_1huqh3" TargetMode="External"/><Relationship Id="rId21" Type="http://schemas.openxmlformats.org/officeDocument/2006/relationships/image" Target="media/image5.png"/><Relationship Id="rId22" Type="http://schemas.openxmlformats.org/officeDocument/2006/relationships/hyperlink" Target="https://library.mededtech.ru/rest/documents/prikazN249/" TargetMode="External"/><Relationship Id="rId23" Type="http://schemas.openxmlformats.org/officeDocument/2006/relationships/hyperlink" Target="https://library.mededtech.ru/rest/documents/prikazN249/#list_item_48vfbr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farmakop15/?anchor=paragraph_3rnj36#paragraph_3rnj36" TargetMode="External"/><Relationship Id="rId26" Type="http://schemas.openxmlformats.org/officeDocument/2006/relationships/hyperlink" Target="https://library.mededtech.ru/rest/documents/farmakop15/?anchor=list_item_nc5cgs#list_item_nc5cgs" TargetMode="External"/><Relationship Id="rId27" Type="http://schemas.openxmlformats.org/officeDocument/2006/relationships/hyperlink" Target="https://library.mededtech.ru/rest/documents/farmakop15/?anchor=paragraph_bn25c1#paragraph_bn25c1" TargetMode="External"/><Relationship Id="rId28" Type="http://schemas.openxmlformats.org/officeDocument/2006/relationships/hyperlink" Target="https://library.mededtech.ru/rest/documents/ISBN9785970447031/?anchor=paragraph_v3gd8a#paragraph_v3gd8a" TargetMode="External"/><Relationship Id="rId29" Type="http://schemas.openxmlformats.org/officeDocument/2006/relationships/image" Target="media/image7.png"/><Relationship Id="rId30" Type="http://schemas.openxmlformats.org/officeDocument/2006/relationships/hyperlink" Target="https://library.mededtech.ru/rest/documents/ISBN9785970477915/?anchor=list_item_56h5rd#list_item_56h5rd" TargetMode="External"/><Relationship Id="rId31" Type="http://schemas.openxmlformats.org/officeDocument/2006/relationships/hyperlink" Target="https://library.mededtech.ru/rest/documents/ISBN9785970447031/?anchor=paragraph_o0im2p#paragraph_o0im2p" TargetMode="External"/><Relationship Id="rId32" Type="http://schemas.openxmlformats.org/officeDocument/2006/relationships/hyperlink" Target="https://library.mededtech.ru/rest/documents/prikazN249/#list_item_j258dt" TargetMode="External"/><Relationship Id="rId33" Type="http://schemas.openxmlformats.org/officeDocument/2006/relationships/hyperlink" Target="https://library.mededtech.ru/rest/documents/prikazN249/#list_item_9c657l" TargetMode="External"/><Relationship Id="rId34" Type="http://schemas.openxmlformats.org/officeDocument/2006/relationships/hyperlink" Target="https://library.mededtech.ru/rest/documents/prikazN249/#list_item_dsugpj" TargetMode="External"/><Relationship Id="rId35" Type="http://schemas.openxmlformats.org/officeDocument/2006/relationships/hyperlink" Target="https://library.mededtech.ru/rest/documents/farmakop15/?anchor=paragraph_m3qo4a#paragraph_m3qo4a" TargetMode="External"/><Relationship Id="rId36" Type="http://schemas.openxmlformats.org/officeDocument/2006/relationships/hyperlink" Target="https://library.mededtech.ru/rest/documents/farmakop15/?anchor=paragraph_k6laij#paragraph_k6laij" TargetMode="External"/><Relationship Id="rId37" Type="http://schemas.openxmlformats.org/officeDocument/2006/relationships/hyperlink" Target="https://library.mededtech.ru/rest/documents/ISBN9785970447031/?anchor=paragraph_2361f6#paragraph_2361f6" TargetMode="External"/><Relationship Id="rId38" Type="http://schemas.openxmlformats.org/officeDocument/2006/relationships/hyperlink" Target="https://library.mededtech.ru/rest/documents/ISBN9785970447031/?anchor=paragraph_evttt6#paragraph_evttt6" TargetMode="External"/><Relationship Id="rId39" Type="http://schemas.openxmlformats.org/officeDocument/2006/relationships/hyperlink" Target="https://library.mededtech.ru/rest/documents/ISBN9785970447031/?anchor=paragraph_q8km0r#paragraph_q8km0r" TargetMode="External"/><Relationship Id="rId40" Type="http://schemas.openxmlformats.org/officeDocument/2006/relationships/hyperlink" Target="https://library.mededtech.ru/rest/documents/ISBN9785970477915/?anchor=paragraph_978j3j#paragraph_978j3j" TargetMode="External"/><Relationship Id="rId41" Type="http://schemas.openxmlformats.org/officeDocument/2006/relationships/hyperlink" Target="https://library.mededtech.ru/rest/documents/ISBN9785970447031/?anchor=paragraph_e6kvrk#paragraph_e6kvrk" TargetMode="External"/><Relationship Id="rId42" Type="http://schemas.openxmlformats.org/officeDocument/2006/relationships/hyperlink" Target="https://library.mededtech.ru/rest/documents/farmakop15/?anchor=paragraph_16bffa#paragraph_16bffa" TargetMode="External"/><Relationship Id="rId43" Type="http://schemas.openxmlformats.org/officeDocument/2006/relationships/hyperlink" Target="https://library.mededtech.ru/rest/documents/ISBN9785970447031/?anchor=paragraph_79puqu#paragraph_79puqu" TargetMode="External"/><Relationship Id="rId44" Type="http://schemas.openxmlformats.org/officeDocument/2006/relationships/hyperlink" Target="https://library.mededtech.ru/rest/documents/farmakop15/?anchor=paragraph_oj7g4b#paragraph_oj7g4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